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8C2F7B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8C2F7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8C2F7B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8C2F7B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8C2F7B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C2F7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8C2F7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C2F7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8C2F7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1418C94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B91FA09" w:rsidR="00B42348" w:rsidRPr="008C2F7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</w:t>
      </w:r>
      <w:r w:rsidR="009B3875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kwalifikowalności uczestników;</w:t>
      </w:r>
    </w:p>
    <w:p w14:paraId="1B36D435" w14:textId="77777777" w:rsidR="00B42348" w:rsidRPr="008C2F7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8C2F7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8C2F7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540DB260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8C2F7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8C2F7B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8C2F7B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8C2F7B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C2F7B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C2F7B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8C2F7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8C2F7B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8C2F7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6CB675F8" w:rsidR="00B42348" w:rsidRPr="008C2F7B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8C2F7B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EC52FD" w:rsidRPr="008C2F7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8C2F7B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8C2F7B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EB7F" w14:textId="77777777" w:rsidR="00CC4DC8" w:rsidRDefault="00CC4DC8" w:rsidP="00D17C21">
      <w:pPr>
        <w:spacing w:before="0" w:after="0" w:line="240" w:lineRule="auto"/>
      </w:pPr>
      <w:r>
        <w:separator/>
      </w:r>
    </w:p>
  </w:endnote>
  <w:endnote w:type="continuationSeparator" w:id="0">
    <w:p w14:paraId="3A1F8B99" w14:textId="77777777" w:rsidR="00CC4DC8" w:rsidRDefault="00CC4DC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88C9E" w14:textId="77777777" w:rsidR="00CC4DC8" w:rsidRDefault="00CC4DC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C4AB0A8" w14:textId="77777777" w:rsidR="00CC4DC8" w:rsidRDefault="00CC4DC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9B3875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="00873BE4" w:rsidRPr="009B3875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9B3875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9B3875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5C25AFA" w:rsidR="00D17C21" w:rsidRPr="009B3875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9B3875">
        <w:rPr>
          <w:rFonts w:ascii="Aptos" w:hAnsi="Aptos" w:cs="Arial"/>
          <w:sz w:val="18"/>
          <w:szCs w:val="18"/>
        </w:rPr>
        <w:t xml:space="preserve">, </w:t>
      </w:r>
      <w:r w:rsidRPr="009B3875">
        <w:rPr>
          <w:rFonts w:ascii="Aptos" w:hAnsi="Aptos" w:cs="Arial"/>
          <w:sz w:val="18"/>
          <w:szCs w:val="18"/>
        </w:rPr>
        <w:t>poz. 1079</w:t>
      </w:r>
      <w:r w:rsidR="00F42AEB" w:rsidRPr="009B3875">
        <w:rPr>
          <w:rFonts w:ascii="Aptos" w:hAnsi="Aptos" w:cs="Arial"/>
          <w:sz w:val="18"/>
          <w:szCs w:val="18"/>
        </w:rPr>
        <w:t xml:space="preserve"> oraz z 20</w:t>
      </w:r>
      <w:r w:rsidR="005A2F7F" w:rsidRPr="009B3875">
        <w:rPr>
          <w:rFonts w:ascii="Aptos" w:hAnsi="Aptos" w:cs="Arial"/>
          <w:sz w:val="18"/>
          <w:szCs w:val="18"/>
        </w:rPr>
        <w:t>2</w:t>
      </w:r>
      <w:r w:rsidR="00F42AEB" w:rsidRPr="009B3875">
        <w:rPr>
          <w:rFonts w:ascii="Aptos" w:hAnsi="Aptos" w:cs="Arial"/>
          <w:sz w:val="18"/>
          <w:szCs w:val="18"/>
        </w:rPr>
        <w:t xml:space="preserve">4 r. </w:t>
      </w:r>
      <w:r w:rsidR="009B3875">
        <w:rPr>
          <w:rFonts w:ascii="Aptos" w:hAnsi="Aptos" w:cs="Arial"/>
          <w:sz w:val="18"/>
          <w:szCs w:val="18"/>
        </w:rPr>
        <w:t xml:space="preserve">poz. </w:t>
      </w:r>
      <w:r w:rsidR="00F42AEB" w:rsidRPr="009B3875">
        <w:rPr>
          <w:rFonts w:ascii="Aptos" w:hAnsi="Aptos" w:cs="Arial"/>
          <w:sz w:val="18"/>
          <w:szCs w:val="18"/>
        </w:rPr>
        <w:t>1717</w:t>
      </w:r>
      <w:r w:rsidRPr="009B387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9B3875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9B387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B3875">
        <w:rPr>
          <w:rFonts w:ascii="Aptos" w:hAnsi="Aptos" w:cs="Arial"/>
          <w:sz w:val="18"/>
          <w:szCs w:val="18"/>
          <w:vertAlign w:val="superscript"/>
        </w:rPr>
        <w:t>)</w:t>
      </w:r>
      <w:r w:rsidRPr="009B3875">
        <w:rPr>
          <w:rFonts w:ascii="Aptos" w:hAnsi="Aptos" w:cs="Arial"/>
          <w:sz w:val="18"/>
          <w:szCs w:val="18"/>
        </w:rPr>
        <w:t xml:space="preserve"> </w:t>
      </w:r>
      <w:r w:rsidRPr="009B387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62A14"/>
    <w:rsid w:val="00186588"/>
    <w:rsid w:val="001975E8"/>
    <w:rsid w:val="001A79FE"/>
    <w:rsid w:val="001B5E2D"/>
    <w:rsid w:val="001D10EA"/>
    <w:rsid w:val="00212CAA"/>
    <w:rsid w:val="00235064"/>
    <w:rsid w:val="00280127"/>
    <w:rsid w:val="00286E84"/>
    <w:rsid w:val="002A16C4"/>
    <w:rsid w:val="00352A11"/>
    <w:rsid w:val="00353936"/>
    <w:rsid w:val="003947C7"/>
    <w:rsid w:val="00394911"/>
    <w:rsid w:val="003B0310"/>
    <w:rsid w:val="003C65AD"/>
    <w:rsid w:val="003D2E21"/>
    <w:rsid w:val="003D32FA"/>
    <w:rsid w:val="003F3BBD"/>
    <w:rsid w:val="00402F16"/>
    <w:rsid w:val="00407BAB"/>
    <w:rsid w:val="004A3894"/>
    <w:rsid w:val="0050205D"/>
    <w:rsid w:val="00536E28"/>
    <w:rsid w:val="00544D29"/>
    <w:rsid w:val="00587FD6"/>
    <w:rsid w:val="005A2F7F"/>
    <w:rsid w:val="00645DDF"/>
    <w:rsid w:val="00695367"/>
    <w:rsid w:val="006A30BE"/>
    <w:rsid w:val="006C3EC5"/>
    <w:rsid w:val="00752E15"/>
    <w:rsid w:val="00760E7D"/>
    <w:rsid w:val="007636CF"/>
    <w:rsid w:val="00795ADF"/>
    <w:rsid w:val="007C315F"/>
    <w:rsid w:val="008319E2"/>
    <w:rsid w:val="008366DE"/>
    <w:rsid w:val="00873BE4"/>
    <w:rsid w:val="00876385"/>
    <w:rsid w:val="008A7D8D"/>
    <w:rsid w:val="008C2F7B"/>
    <w:rsid w:val="008C3F92"/>
    <w:rsid w:val="009113E9"/>
    <w:rsid w:val="00933672"/>
    <w:rsid w:val="00945B14"/>
    <w:rsid w:val="009601D0"/>
    <w:rsid w:val="00975889"/>
    <w:rsid w:val="009A01FF"/>
    <w:rsid w:val="009A3539"/>
    <w:rsid w:val="009B2DC2"/>
    <w:rsid w:val="009B3875"/>
    <w:rsid w:val="009F4FB9"/>
    <w:rsid w:val="00A06544"/>
    <w:rsid w:val="00A24CEF"/>
    <w:rsid w:val="00B0548F"/>
    <w:rsid w:val="00B42348"/>
    <w:rsid w:val="00B87854"/>
    <w:rsid w:val="00B92854"/>
    <w:rsid w:val="00BD1755"/>
    <w:rsid w:val="00BE10C8"/>
    <w:rsid w:val="00C06129"/>
    <w:rsid w:val="00C16523"/>
    <w:rsid w:val="00C8273C"/>
    <w:rsid w:val="00CA6141"/>
    <w:rsid w:val="00CC4DC8"/>
    <w:rsid w:val="00D17C21"/>
    <w:rsid w:val="00D710A2"/>
    <w:rsid w:val="00D81391"/>
    <w:rsid w:val="00DB023A"/>
    <w:rsid w:val="00DF626D"/>
    <w:rsid w:val="00E16986"/>
    <w:rsid w:val="00E67BA8"/>
    <w:rsid w:val="00EB09F2"/>
    <w:rsid w:val="00EC52FD"/>
    <w:rsid w:val="00F340B4"/>
    <w:rsid w:val="00F42AEB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42AEB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47</cp:revision>
  <cp:lastPrinted>2023-07-10T12:56:00Z</cp:lastPrinted>
  <dcterms:created xsi:type="dcterms:W3CDTF">2023-02-07T13:33:00Z</dcterms:created>
  <dcterms:modified xsi:type="dcterms:W3CDTF">2025-06-03T11:11:00Z</dcterms:modified>
</cp:coreProperties>
</file>